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2F36EB" w:rsidRPr="00B92F69" w:rsidTr="00874E7A">
        <w:trPr>
          <w:trHeight w:val="513"/>
        </w:trPr>
        <w:tc>
          <w:tcPr>
            <w:tcW w:w="4788" w:type="dxa"/>
          </w:tcPr>
          <w:p w:rsidR="002F36EB" w:rsidRPr="0093293B" w:rsidRDefault="002F36EB" w:rsidP="00007C8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2F36EB" w:rsidRPr="00007C85" w:rsidRDefault="002F36EB" w:rsidP="00007C85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 w:rsidR="00007C85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4.1.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007C8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337F7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007C8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337F7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007C8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2F36EB" w:rsidRPr="00B92F69" w:rsidRDefault="002F36EB" w:rsidP="00874E7A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F36EB" w:rsidRPr="00B92F69" w:rsidTr="00874E7A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2F36EB" w:rsidRPr="0093293B" w:rsidRDefault="002F36EB" w:rsidP="00874E7A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4.1.1</w:t>
            </w:r>
            <w:r w:rsidR="00007C8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Унапређење образовне инфраструктуре и обезбјеђивање доступности образовања</w:t>
            </w:r>
          </w:p>
          <w:p w:rsidR="002F36EB" w:rsidRPr="00007C85" w:rsidRDefault="002F36EB" w:rsidP="00940324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4.1.1.</w:t>
            </w:r>
            <w:r w:rsidR="00940324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BA" w:eastAsia="hr-HR"/>
              </w:rPr>
              <w:t>3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. </w:t>
            </w:r>
            <w:r w:rsidR="0094032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Унапређени капацитети основних школа у градском, приградском у руралном подручју</w:t>
            </w:r>
            <w:r w:rsidR="00007C85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BA" w:eastAsia="hr-HR"/>
              </w:rPr>
              <w:t xml:space="preserve"> </w:t>
            </w:r>
          </w:p>
        </w:tc>
      </w:tr>
      <w:tr w:rsidR="002F36EB" w:rsidRPr="00B92F69" w:rsidTr="00874E7A">
        <w:trPr>
          <w:trHeight w:val="1268"/>
        </w:trPr>
        <w:tc>
          <w:tcPr>
            <w:tcW w:w="9889" w:type="dxa"/>
            <w:gridSpan w:val="2"/>
          </w:tcPr>
          <w:p w:rsidR="002F36EB" w:rsidRPr="00B92F69" w:rsidRDefault="002F36EB" w:rsidP="00874E7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7C5ECF" w:rsidRDefault="002F36EB" w:rsidP="00874E7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 територији града Бања Лука налази се 29 централних основних школа и 26 подручних школа. У школској 2017/2018 годину основне школе је похађало 16097 ућеника у 777 одјељења. 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 xml:space="preserve">У приградском и руралном подручју објекти су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у 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>доста лошем стању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 xml:space="preserve"> а разлози су </w:t>
            </w:r>
            <w:r w:rsidR="00A359C1">
              <w:rPr>
                <w:rFonts w:ascii="Calibri" w:hAnsi="Calibri"/>
                <w:sz w:val="20"/>
                <w:szCs w:val="20"/>
                <w:lang w:val="sr-Cyrl-BA"/>
              </w:rPr>
              <w:t xml:space="preserve">углавном 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>старост објеката</w:t>
            </w:r>
            <w:r w:rsidR="00A359C1">
              <w:rPr>
                <w:rFonts w:ascii="Calibri" w:hAnsi="Calibri"/>
                <w:sz w:val="20"/>
                <w:szCs w:val="20"/>
                <w:lang w:val="sr-Cyrl-BA"/>
              </w:rPr>
              <w:t>. У градском подручју ситуација је нешто повољнија. П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 xml:space="preserve">отребна је реконструкција истих у складу са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потребама. У току 2017. Године, Град Бања Лука је формирао комисију која је </w:t>
            </w:r>
            <w:r w:rsidR="00940324">
              <w:rPr>
                <w:rFonts w:ascii="Calibri" w:hAnsi="Calibri"/>
                <w:sz w:val="20"/>
                <w:szCs w:val="20"/>
                <w:lang w:val="sr-Cyrl-BA"/>
              </w:rPr>
              <w:t>обишла све школе и сачинила Информацију о стању основних школа на територији града Бањалуке.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359C1">
              <w:rPr>
                <w:rFonts w:ascii="Calibri" w:hAnsi="Calibri"/>
                <w:sz w:val="20"/>
                <w:szCs w:val="20"/>
                <w:lang w:val="sr-Cyrl-BA"/>
              </w:rPr>
              <w:t>Комисија је утврдила потребе реконструкције и санације школа: замјена кровног покривача, замјена вањске столарије и израда фасаде, санација мокрих чворова, зам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јена подних облога у учионицама и др. Пројектом је предвиђена реализација наведених активности.</w:t>
            </w:r>
          </w:p>
          <w:p w:rsidR="002F36EB" w:rsidRPr="008B7FD6" w:rsidRDefault="002F36EB" w:rsidP="00874E7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Latn-BA"/>
              </w:rPr>
            </w:pPr>
          </w:p>
        </w:tc>
      </w:tr>
      <w:tr w:rsidR="002F36EB" w:rsidRPr="00B92F69" w:rsidTr="00874E7A">
        <w:trPr>
          <w:trHeight w:val="395"/>
        </w:trPr>
        <w:tc>
          <w:tcPr>
            <w:tcW w:w="4788" w:type="dxa"/>
          </w:tcPr>
          <w:p w:rsidR="002F36EB" w:rsidRDefault="002F36EB" w:rsidP="00874E7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07C85" w:rsidRPr="00007C85" w:rsidRDefault="00007C85" w:rsidP="00007C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До</w:t>
            </w:r>
            <w:r w:rsidRPr="00007C85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337F74" w:rsidRPr="00337F7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37F74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побољшан квалитет простора за извођење наставног процеса за најмање 50% основних школа на подручју Града, </w:t>
            </w:r>
          </w:p>
          <w:p w:rsidR="00007C85" w:rsidRPr="00007C85" w:rsidRDefault="00007C85" w:rsidP="00007C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Повећана енергетска ефикасност у основним школама на подручју Града. </w:t>
            </w:r>
            <w:r w:rsidR="002F36EB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</w:p>
          <w:p w:rsidR="002F36EB" w:rsidRPr="00007C85" w:rsidRDefault="002F36EB" w:rsidP="00007C85">
            <w:pPr>
              <w:spacing w:after="0" w:line="240" w:lineRule="auto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2F36EB" w:rsidRDefault="002F36EB" w:rsidP="00874E7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07C85" w:rsidRDefault="00007C85" w:rsidP="00874E7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  <w:p w:rsidR="002F36EB" w:rsidRPr="00007C85" w:rsidRDefault="00A359C1" w:rsidP="00007C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Ученици основних школа (око 16.000 ученика)</w:t>
            </w:r>
          </w:p>
          <w:p w:rsidR="002F36EB" w:rsidRPr="00007C85" w:rsidRDefault="002F36EB" w:rsidP="00874E7A">
            <w:p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D010C9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2F36EB" w:rsidRPr="00B92F69" w:rsidTr="00874E7A">
        <w:trPr>
          <w:trHeight w:val="368"/>
        </w:trPr>
        <w:tc>
          <w:tcPr>
            <w:tcW w:w="4788" w:type="dxa"/>
            <w:shd w:val="clear" w:color="auto" w:fill="auto"/>
          </w:tcPr>
          <w:p w:rsidR="002F36EB" w:rsidRDefault="002F36EB" w:rsidP="00874E7A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007C85" w:rsidRPr="00007C85" w:rsidRDefault="00337F74" w:rsidP="00007C8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краја </w:t>
            </w:r>
            <w:r w:rsidR="00007C85" w:rsidRPr="00007C85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. г</w:t>
            </w:r>
            <w:r w:rsidR="00007C85" w:rsidRPr="00007C85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007C85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реконструисано најмање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10</w:t>
            </w:r>
            <w:r w:rsidR="00007C85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основних школа у градском подручју и доградња једне школе,</w:t>
            </w:r>
          </w:p>
          <w:p w:rsidR="001A797B" w:rsidRPr="00007C85" w:rsidRDefault="00007C85" w:rsidP="00337F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337F7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37F74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реконструисано најмање 10 објеката основних школа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у приградском и руралном подручју у складу са потребама.</w:t>
            </w:r>
            <w:r w:rsidR="001A797B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2F36EB" w:rsidRDefault="002F36EB" w:rsidP="00874E7A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007C85" w:rsidRDefault="00007C85" w:rsidP="00007C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школских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установа у којима су </w:t>
            </w:r>
            <w:r w:rsidR="00342AA9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побољшани услови и доступност образовања </w:t>
            </w:r>
          </w:p>
          <w:p w:rsidR="002F36EB" w:rsidRPr="00B92F69" w:rsidRDefault="002F36EB" w:rsidP="00874E7A">
            <w:p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F36EB" w:rsidRPr="00B92F69" w:rsidTr="00874E7A">
        <w:trPr>
          <w:trHeight w:val="983"/>
        </w:trPr>
        <w:tc>
          <w:tcPr>
            <w:tcW w:w="4788" w:type="dxa"/>
            <w:shd w:val="clear" w:color="auto" w:fill="auto"/>
          </w:tcPr>
          <w:p w:rsidR="002F36EB" w:rsidRPr="00B92F69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007C85" w:rsidRDefault="002F36EB" w:rsidP="00007C8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</w:t>
            </w:r>
            <w:r w:rsidR="001A797B" w:rsidRPr="00007C85">
              <w:rPr>
                <w:rFonts w:ascii="Calibri" w:hAnsi="Calibri"/>
                <w:sz w:val="20"/>
                <w:szCs w:val="20"/>
                <w:lang w:val="sr-Cyrl-BA"/>
              </w:rPr>
              <w:t>нтације, избор извођача радова и доградња</w:t>
            </w:r>
            <w:r w:rsidR="001E183A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ОШ</w:t>
            </w:r>
            <w:r w:rsidR="001E183A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„Бранко Радичевић“</w:t>
            </w:r>
            <w:r w:rsidR="001A797B"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у градском подручју </w:t>
            </w:r>
          </w:p>
          <w:p w:rsidR="00007C85" w:rsidRDefault="001E183A" w:rsidP="00007C8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документације, избор извођача радова,  реконструкција основних школа у градском подручју: ОШ „Бранко Ћопић“, ОШ „Вук С. Караџић“, ОШ „Змај Ј. Јовановић“, ОШ „Иван Г. Ковачић“, ОШ „Свети Сава“, ОШ „Бранислав Нушић“,</w:t>
            </w:r>
          </w:p>
          <w:p w:rsidR="001E183A" w:rsidRPr="00007C85" w:rsidRDefault="001E183A" w:rsidP="00007C8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техничке документације, избор извођача радова,  реконструкција основних школа у приградском и руралном подручју: ОШ „Војислав Илић“, ОШ „Десанака Максимовић“, ОШ „Јован Дучић“, ОШ „Милан Ракић“, ОШ „Милутин Бојић“, ОШ „Мирослав Антић“, ОШ „Младен Стојановић“, ОШ „Петар Кочић“, ОШ „Свети Ћирило и Методије“, </w:t>
            </w:r>
            <w:r w:rsidR="00EB5AE2" w:rsidRPr="00007C85">
              <w:rPr>
                <w:rFonts w:ascii="Calibri" w:hAnsi="Calibri"/>
                <w:sz w:val="20"/>
                <w:szCs w:val="20"/>
                <w:lang w:val="sr-Cyrl-BA"/>
              </w:rPr>
              <w:t>ОШ „Станко Ракита“.</w:t>
            </w:r>
          </w:p>
        </w:tc>
        <w:tc>
          <w:tcPr>
            <w:tcW w:w="5101" w:type="dxa"/>
          </w:tcPr>
          <w:p w:rsidR="002F36EB" w:rsidRPr="00B92F69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3B2FB6" w:rsidRDefault="002F36EB" w:rsidP="00337F74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201</w:t>
            </w:r>
            <w:r w:rsidR="001A797B">
              <w:rPr>
                <w:rFonts w:ascii="Calibri" w:hAnsi="Calibri"/>
                <w:sz w:val="20"/>
                <w:szCs w:val="20"/>
                <w:lang w:val="sr-Cyrl-BA"/>
              </w:rPr>
              <w:t>8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. до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337F7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37F74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2F36EB" w:rsidRPr="00B92F69" w:rsidTr="00874E7A">
        <w:trPr>
          <w:trHeight w:val="1212"/>
        </w:trPr>
        <w:tc>
          <w:tcPr>
            <w:tcW w:w="4788" w:type="dxa"/>
            <w:shd w:val="clear" w:color="auto" w:fill="auto"/>
          </w:tcPr>
          <w:p w:rsidR="002F36EB" w:rsidRPr="00B92F69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2F36EB" w:rsidRPr="00D010C9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3.400</w:t>
            </w:r>
            <w:r w:rsidR="00EB5AE2">
              <w:rPr>
                <w:rFonts w:ascii="Calibri" w:hAnsi="Calibri"/>
                <w:sz w:val="20"/>
                <w:szCs w:val="20"/>
                <w:lang w:val="sr-Cyrl-BA"/>
              </w:rPr>
              <w:t>.000,00</w:t>
            </w:r>
          </w:p>
          <w:p w:rsidR="002F36EB" w:rsidRPr="00EB1C5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D010C9" w:rsidRDefault="002F36EB" w:rsidP="00007C8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2.000.000,00               </w:t>
            </w:r>
            <w:r w:rsidR="00007C85">
              <w:rPr>
                <w:rFonts w:ascii="Calibri" w:hAnsi="Calibri"/>
                <w:sz w:val="20"/>
                <w:szCs w:val="20"/>
              </w:rPr>
              <w:t>2021: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300.000,00 </w:t>
            </w:r>
          </w:p>
          <w:p w:rsidR="002F36EB" w:rsidRPr="00D010C9" w:rsidRDefault="002F36EB" w:rsidP="00007C8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4</w:t>
            </w:r>
            <w:r w:rsidR="00EB5AE2">
              <w:rPr>
                <w:rFonts w:ascii="Calibri" w:hAnsi="Calibri"/>
                <w:sz w:val="20"/>
                <w:szCs w:val="20"/>
                <w:lang w:val="sr-Cyrl-BA"/>
              </w:rPr>
              <w:t>00.000,00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</w:t>
            </w:r>
            <w:r w:rsidR="00007C85">
              <w:rPr>
                <w:rFonts w:ascii="Calibri" w:hAnsi="Calibri"/>
                <w:sz w:val="20"/>
                <w:szCs w:val="20"/>
              </w:rPr>
              <w:t>2022: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300.000,00 </w:t>
            </w:r>
          </w:p>
          <w:p w:rsidR="002F36EB" w:rsidRPr="00007C85" w:rsidRDefault="002F36EB" w:rsidP="00007C8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 xml:space="preserve"> 400.000,00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2F36E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2F36EB" w:rsidRPr="00EB1C5B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EB5AE2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2F36EB" w:rsidRPr="00D25803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>, Влада РС</w:t>
            </w:r>
            <w:r w:rsidR="00EB5AE2">
              <w:rPr>
                <w:rFonts w:ascii="Calibri" w:hAnsi="Calibri"/>
                <w:sz w:val="20"/>
                <w:szCs w:val="20"/>
                <w:lang w:val="sr-Cyrl-BA"/>
              </w:rPr>
              <w:t>, УНДП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 Амбасаде других земаља</w:t>
            </w:r>
            <w:r w:rsidRPr="00EB1C5B">
              <w:rPr>
                <w:rFonts w:ascii="Calibri" w:hAnsi="Calibri"/>
                <w:sz w:val="20"/>
                <w:szCs w:val="20"/>
              </w:rPr>
              <w:t>:</w:t>
            </w:r>
            <w:r w:rsidR="00007C85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007C85">
              <w:rPr>
                <w:rFonts w:ascii="Calibri" w:hAnsi="Calibri"/>
                <w:sz w:val="20"/>
                <w:szCs w:val="20"/>
                <w:lang w:val="sr-Cyrl-BA"/>
              </w:rPr>
              <w:t>7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2F36EB" w:rsidRPr="00B92F69" w:rsidRDefault="002F36EB" w:rsidP="00EB5AE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2F36EB" w:rsidRPr="00B92F69" w:rsidTr="00874E7A">
        <w:trPr>
          <w:trHeight w:val="1212"/>
        </w:trPr>
        <w:tc>
          <w:tcPr>
            <w:tcW w:w="4788" w:type="dxa"/>
            <w:shd w:val="clear" w:color="auto" w:fill="auto"/>
          </w:tcPr>
          <w:p w:rsidR="002F36E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EB5AE2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2F36EB" w:rsidRPr="00EB1C5B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2F36EB" w:rsidRPr="00EB1C5B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2F36EB" w:rsidRPr="00D25803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D25803">
              <w:rPr>
                <w:rFonts w:ascii="Calibri" w:hAnsi="Calibri"/>
                <w:b/>
                <w:sz w:val="20"/>
                <w:szCs w:val="20"/>
              </w:rPr>
              <w:t xml:space="preserve">Г) </w:t>
            </w:r>
            <w:proofErr w:type="spellStart"/>
            <w:r w:rsidRPr="00B07D68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B07D6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07D68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2F36EB" w:rsidRPr="002E081E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2F36E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D25803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- </w:t>
            </w:r>
            <w:r w:rsidRPr="00D25803">
              <w:rPr>
                <w:rFonts w:ascii="Calibri" w:hAnsi="Calibri"/>
                <w:sz w:val="20"/>
                <w:szCs w:val="20"/>
                <w:lang w:val="sr-Cyrl-BA"/>
              </w:rPr>
              <w:t>Недостатак властитих средстава и средстава донатора</w:t>
            </w:r>
          </w:p>
        </w:tc>
      </w:tr>
      <w:tr w:rsidR="002F36EB" w:rsidRPr="00B92F69" w:rsidTr="00874E7A">
        <w:trPr>
          <w:trHeight w:val="1212"/>
        </w:trPr>
        <w:tc>
          <w:tcPr>
            <w:tcW w:w="4788" w:type="dxa"/>
            <w:shd w:val="clear" w:color="auto" w:fill="auto"/>
          </w:tcPr>
          <w:p w:rsidR="002F36E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CF581E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- </w:t>
            </w:r>
            <w:r w:rsidR="00EB5AE2">
              <w:rPr>
                <w:rFonts w:ascii="Calibri" w:hAnsi="Calibri"/>
                <w:sz w:val="20"/>
                <w:szCs w:val="20"/>
                <w:lang w:val="sr-Cyrl-BA"/>
              </w:rPr>
              <w:t xml:space="preserve">Министарство просвјете и културе, Министарство за просторно уређење, грађевинарство и екологију, УНДП, </w:t>
            </w:r>
            <w:r w:rsidRPr="00CF581E">
              <w:rPr>
                <w:rFonts w:ascii="Calibri" w:hAnsi="Calibri"/>
                <w:sz w:val="20"/>
                <w:szCs w:val="20"/>
                <w:lang w:val="sr-Cyrl-BA"/>
              </w:rPr>
              <w:t xml:space="preserve">Амбасада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других земаља</w:t>
            </w:r>
            <w:r w:rsidRPr="00CF581E">
              <w:rPr>
                <w:rFonts w:ascii="Calibri" w:hAnsi="Calibri"/>
                <w:sz w:val="20"/>
                <w:szCs w:val="20"/>
                <w:lang w:val="sr-Cyrl-BA"/>
              </w:rPr>
              <w:t xml:space="preserve"> у Бих</w:t>
            </w:r>
          </w:p>
        </w:tc>
        <w:tc>
          <w:tcPr>
            <w:tcW w:w="5101" w:type="dxa"/>
            <w:shd w:val="clear" w:color="auto" w:fill="FFFFFF" w:themeFill="background1"/>
          </w:tcPr>
          <w:p w:rsidR="002F36EB" w:rsidRDefault="002F36EB" w:rsidP="00874E7A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2F36EB" w:rsidRPr="00CF581E" w:rsidRDefault="002F36EB" w:rsidP="00874E7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комуналне послове, </w:t>
            </w:r>
            <w:r w:rsidR="005A0168">
              <w:rPr>
                <w:rFonts w:ascii="Calibri" w:hAnsi="Calibri"/>
                <w:sz w:val="20"/>
                <w:szCs w:val="20"/>
                <w:lang w:val="sr-Cyrl-BA"/>
              </w:rPr>
              <w:t xml:space="preserve"> Одјељење за локални економски развој и стратешко планирање,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 и основне школе </w:t>
            </w:r>
          </w:p>
        </w:tc>
      </w:tr>
    </w:tbl>
    <w:p w:rsidR="002F36EB" w:rsidRDefault="002F36EB" w:rsidP="002F36EB"/>
    <w:p w:rsidR="00753B2A" w:rsidRDefault="00753B2A"/>
    <w:sectPr w:rsidR="00753B2A" w:rsidSect="001B3ECD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BC4"/>
    <w:multiLevelType w:val="hybridMultilevel"/>
    <w:tmpl w:val="D81C24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01D13"/>
    <w:multiLevelType w:val="hybridMultilevel"/>
    <w:tmpl w:val="C77A2F1E"/>
    <w:lvl w:ilvl="0" w:tplc="1B86557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C5B55"/>
    <w:multiLevelType w:val="hybridMultilevel"/>
    <w:tmpl w:val="9C1EAFD8"/>
    <w:lvl w:ilvl="0" w:tplc="9636408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45A35"/>
    <w:multiLevelType w:val="hybridMultilevel"/>
    <w:tmpl w:val="ED3CA0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1E0356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b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A4393"/>
    <w:multiLevelType w:val="hybridMultilevel"/>
    <w:tmpl w:val="1DC0D3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AE2CD0"/>
    <w:multiLevelType w:val="hybridMultilevel"/>
    <w:tmpl w:val="CFB051B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F070F2"/>
    <w:multiLevelType w:val="hybridMultilevel"/>
    <w:tmpl w:val="AC9A2A8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422C2"/>
    <w:multiLevelType w:val="hybridMultilevel"/>
    <w:tmpl w:val="6F0A69B6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F36EB"/>
    <w:rsid w:val="00007C85"/>
    <w:rsid w:val="001015BD"/>
    <w:rsid w:val="001A797B"/>
    <w:rsid w:val="001D4195"/>
    <w:rsid w:val="001E183A"/>
    <w:rsid w:val="002F36EB"/>
    <w:rsid w:val="00337F74"/>
    <w:rsid w:val="00342AA9"/>
    <w:rsid w:val="00361A2C"/>
    <w:rsid w:val="00421E1B"/>
    <w:rsid w:val="004308F9"/>
    <w:rsid w:val="00526F68"/>
    <w:rsid w:val="005A0168"/>
    <w:rsid w:val="007359F6"/>
    <w:rsid w:val="00753B2A"/>
    <w:rsid w:val="00940324"/>
    <w:rsid w:val="00A359C1"/>
    <w:rsid w:val="00B07D68"/>
    <w:rsid w:val="00EB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9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12</cp:revision>
  <cp:lastPrinted>2018-09-17T08:20:00Z</cp:lastPrinted>
  <dcterms:created xsi:type="dcterms:W3CDTF">2018-09-13T13:40:00Z</dcterms:created>
  <dcterms:modified xsi:type="dcterms:W3CDTF">2018-10-05T10:59:00Z</dcterms:modified>
</cp:coreProperties>
</file>